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B18" w:rsidRPr="00F74B18" w:rsidRDefault="00EC3A27" w:rsidP="00F74B18">
      <w:pPr>
        <w:widowControl w:val="0"/>
        <w:jc w:val="center"/>
        <w:rPr>
          <w:b/>
          <w:color w:val="7030A0"/>
          <w:sz w:val="44"/>
          <w:szCs w:val="24"/>
          <w14:ligatures w14:val="none"/>
        </w:rPr>
      </w:pPr>
      <w:r>
        <w:rPr>
          <w:b/>
          <w:color w:val="7030A0"/>
          <w:sz w:val="44"/>
          <w:szCs w:val="24"/>
          <w14:ligatures w14:val="none"/>
        </w:rPr>
        <w:t>Notice to</w:t>
      </w:r>
      <w:r w:rsidR="00F74B18" w:rsidRPr="00F74B18">
        <w:rPr>
          <w:b/>
          <w:color w:val="7030A0"/>
          <w:sz w:val="44"/>
          <w:szCs w:val="24"/>
          <w14:ligatures w14:val="none"/>
        </w:rPr>
        <w:t xml:space="preserve"> Parents</w:t>
      </w:r>
    </w:p>
    <w:p w:rsidR="00F74B18" w:rsidRPr="00F74B18" w:rsidRDefault="00F74B18" w:rsidP="00F74B18">
      <w:pPr>
        <w:widowControl w:val="0"/>
        <w:jc w:val="center"/>
        <w:rPr>
          <w:color w:val="7030A0"/>
          <w:sz w:val="36"/>
          <w:szCs w:val="24"/>
          <w14:ligatures w14:val="none"/>
        </w:rPr>
      </w:pPr>
      <w:r w:rsidRPr="00F74B18">
        <w:rPr>
          <w:color w:val="7030A0"/>
          <w:sz w:val="36"/>
          <w:szCs w:val="24"/>
          <w14:ligatures w14:val="none"/>
        </w:rPr>
        <w:t>CHANGES IN Tdap SCHOOL VACCINATION REQUIREMENT</w:t>
      </w:r>
    </w:p>
    <w:p w:rsidR="00F74B18" w:rsidRDefault="00F74B18" w:rsidP="00F74B18">
      <w:pPr>
        <w:widowControl w:val="0"/>
        <w:jc w:val="center"/>
        <w:rPr>
          <w:sz w:val="24"/>
          <w:szCs w:val="24"/>
          <w14:ligatures w14:val="none"/>
        </w:rPr>
      </w:pPr>
      <w:r>
        <w:rPr>
          <w:sz w:val="24"/>
          <w:szCs w:val="24"/>
          <w14:ligatures w14:val="none"/>
        </w:rPr>
        <w:t xml:space="preserve">Diphtheria, Tetanus, &amp; Pertussis (DTaP, DTP, or </w:t>
      </w:r>
      <w:r w:rsidRPr="00F74B18">
        <w:rPr>
          <w:b/>
          <w:color w:val="7030A0"/>
          <w:sz w:val="36"/>
          <w:szCs w:val="24"/>
          <w14:ligatures w14:val="none"/>
        </w:rPr>
        <w:t>Tdap</w:t>
      </w:r>
      <w:r>
        <w:rPr>
          <w:sz w:val="24"/>
          <w:szCs w:val="24"/>
          <w14:ligatures w14:val="none"/>
        </w:rPr>
        <w:t>)</w:t>
      </w:r>
    </w:p>
    <w:p w:rsidR="00FC0489" w:rsidRPr="00FC0489" w:rsidRDefault="00F74B18" w:rsidP="00FC0489">
      <w:pPr>
        <w:widowControl w:val="0"/>
        <w:rPr>
          <w:color w:val="C00000"/>
          <w:sz w:val="28"/>
          <w:szCs w:val="24"/>
          <w14:ligatures w14:val="none"/>
        </w:rPr>
      </w:pPr>
      <w:r w:rsidRPr="00F74B18">
        <w:rPr>
          <w:sz w:val="28"/>
          <w14:ligatures w14:val="none"/>
        </w:rPr>
        <w:t xml:space="preserve">In April 2018, the Advisory Committee on Immunization Practices (ACIP) changed the minimum recommended age for the tetanus, diphtheria, and </w:t>
      </w:r>
      <w:r w:rsidRPr="00F74B18">
        <w:rPr>
          <w:b/>
          <w:color w:val="7030A0"/>
          <w:sz w:val="28"/>
          <w14:ligatures w14:val="none"/>
        </w:rPr>
        <w:t>acellular pertussis (Tdap) adolescent</w:t>
      </w:r>
      <w:r w:rsidRPr="00F74B18">
        <w:rPr>
          <w:color w:val="7030A0"/>
          <w:sz w:val="28"/>
          <w14:ligatures w14:val="none"/>
        </w:rPr>
        <w:t xml:space="preserve"> </w:t>
      </w:r>
      <w:r w:rsidRPr="00F74B18">
        <w:rPr>
          <w:b/>
          <w:color w:val="7030A0"/>
          <w:sz w:val="28"/>
          <w14:ligatures w14:val="none"/>
        </w:rPr>
        <w:t>booster</w:t>
      </w:r>
      <w:r w:rsidRPr="00F74B18">
        <w:rPr>
          <w:color w:val="7030A0"/>
          <w:sz w:val="28"/>
          <w14:ligatures w14:val="none"/>
        </w:rPr>
        <w:t xml:space="preserve"> </w:t>
      </w:r>
      <w:r w:rsidRPr="00F74B18">
        <w:rPr>
          <w:sz w:val="28"/>
          <w14:ligatures w14:val="none"/>
        </w:rPr>
        <w:t xml:space="preserve">vaccine from 10 to </w:t>
      </w:r>
      <w:r w:rsidRPr="00EC3A27">
        <w:rPr>
          <w:b/>
          <w:sz w:val="28"/>
          <w14:ligatures w14:val="none"/>
        </w:rPr>
        <w:t>11 years</w:t>
      </w:r>
      <w:r w:rsidRPr="00F74B18">
        <w:rPr>
          <w:sz w:val="28"/>
          <w14:ligatures w14:val="none"/>
        </w:rPr>
        <w:t xml:space="preserve">. </w:t>
      </w:r>
      <w:r w:rsidR="00FC0489" w:rsidRPr="00FC0489">
        <w:rPr>
          <w:sz w:val="28"/>
          <w14:ligatures w14:val="none"/>
        </w:rPr>
        <w:t xml:space="preserve">According to the Code of Virginia, the student has met the requirement by having a Tdap dose </w:t>
      </w:r>
      <w:r w:rsidR="00FC0489" w:rsidRPr="00EC3A27">
        <w:rPr>
          <w:b/>
          <w:sz w:val="28"/>
          <w14:ligatures w14:val="none"/>
        </w:rPr>
        <w:t>prior to seventh grade</w:t>
      </w:r>
      <w:r w:rsidR="00FC0489" w:rsidRPr="00FC0489">
        <w:rPr>
          <w:sz w:val="28"/>
          <w14:ligatures w14:val="none"/>
        </w:rPr>
        <w:t>.</w:t>
      </w:r>
      <w:r w:rsidR="00FC0489" w:rsidRPr="00FC0489">
        <w:rPr>
          <w:sz w:val="22"/>
          <w14:ligatures w14:val="none"/>
        </w:rPr>
        <w:t xml:space="preserve"> </w:t>
      </w:r>
    </w:p>
    <w:p w:rsidR="00F74B18" w:rsidRDefault="00F74B18" w:rsidP="00F74B18">
      <w:pPr>
        <w:widowControl w:val="0"/>
        <w:jc w:val="center"/>
        <w:rPr>
          <w:sz w:val="24"/>
          <w:szCs w:val="24"/>
          <w14:ligatures w14:val="none"/>
        </w:rPr>
      </w:pPr>
      <w:r w:rsidRPr="00F74B18">
        <w:rPr>
          <w:sz w:val="36"/>
          <w:szCs w:val="24"/>
          <w14:ligatures w14:val="none"/>
        </w:rPr>
        <w:t>The Requirements Reads: </w:t>
      </w:r>
    </w:p>
    <w:p w:rsidR="00F74B18" w:rsidRPr="00FC0489" w:rsidRDefault="00F74B18" w:rsidP="00F74B18">
      <w:pPr>
        <w:widowControl w:val="0"/>
        <w:rPr>
          <w:b/>
          <w:color w:val="7030A0"/>
          <w:sz w:val="28"/>
          <w14:ligatures w14:val="none"/>
        </w:rPr>
      </w:pPr>
      <w:r w:rsidRPr="00FC0489">
        <w:rPr>
          <w:sz w:val="28"/>
          <w14:ligatures w14:val="none"/>
        </w:rPr>
        <w:t>A minimum of 4 doses. A child must have at least one dose of DTaP or DTP vaccine on or after the fourth birthday. DT (Diphtheria, Tetanus) vaccine is required for children who are medically exempt from the pertussis containing vaccine (DTaP or DTP). Adult Td is required for children 7 years of age and older who do not meet the minimum requirements for tetanus and diphtheria. </w:t>
      </w:r>
      <w:r w:rsidRPr="00FC0489">
        <w:rPr>
          <w:b/>
          <w:i/>
          <w:iCs/>
          <w:color w:val="7030A0"/>
          <w:sz w:val="32"/>
          <w14:ligatures w14:val="none"/>
        </w:rPr>
        <w:t>Effective July 1, 2019, a booster dose of Tdap vaccine is required for all children entering the 7th grade.</w:t>
      </w:r>
      <w:r w:rsidRPr="00FC0489">
        <w:rPr>
          <w:b/>
          <w:color w:val="7030A0"/>
          <w:sz w:val="32"/>
          <w14:ligatures w14:val="none"/>
        </w:rPr>
        <w:t xml:space="preserve"> </w:t>
      </w:r>
      <w:r w:rsidRPr="00FC0489">
        <w:rPr>
          <w:b/>
          <w:color w:val="7030A0"/>
          <w:sz w:val="28"/>
          <w14:ligatures w14:val="none"/>
        </w:rPr>
        <w:t xml:space="preserve"> </w:t>
      </w:r>
    </w:p>
    <w:p w:rsidR="00FC0489" w:rsidRDefault="00FC0489" w:rsidP="00F74B18">
      <w:pPr>
        <w:widowControl w:val="0"/>
        <w:rPr>
          <w:b/>
          <w:color w:val="7030A0"/>
          <w:sz w:val="24"/>
          <w14:ligatures w14:val="none"/>
        </w:rPr>
      </w:pPr>
      <w:bookmarkStart w:id="0" w:name="_GoBack"/>
      <w:bookmarkEnd w:id="0"/>
    </w:p>
    <w:p w:rsidR="00EC3A27" w:rsidRDefault="00FC0489" w:rsidP="00EC3A27">
      <w:pPr>
        <w:widowControl w:val="0"/>
        <w:spacing w:after="0"/>
        <w:rPr>
          <w:b/>
          <w:color w:val="auto"/>
          <w:sz w:val="28"/>
          <w14:ligatures w14:val="none"/>
        </w:rPr>
      </w:pPr>
      <w:r w:rsidRPr="00EC3A27">
        <w:rPr>
          <w:b/>
          <w:color w:val="auto"/>
          <w:sz w:val="36"/>
          <w14:ligatures w14:val="none"/>
        </w:rPr>
        <w:t>How does this affect my rising 6</w:t>
      </w:r>
      <w:r w:rsidRPr="00EC3A27">
        <w:rPr>
          <w:b/>
          <w:color w:val="auto"/>
          <w:sz w:val="36"/>
          <w:vertAlign w:val="superscript"/>
          <w14:ligatures w14:val="none"/>
        </w:rPr>
        <w:t>th</w:t>
      </w:r>
      <w:r w:rsidRPr="00EC3A27">
        <w:rPr>
          <w:b/>
          <w:color w:val="auto"/>
          <w:sz w:val="36"/>
          <w14:ligatures w14:val="none"/>
        </w:rPr>
        <w:t xml:space="preserve"> grader?</w:t>
      </w:r>
      <w:r w:rsidRPr="00FC0489">
        <w:rPr>
          <w:b/>
          <w:color w:val="auto"/>
          <w:sz w:val="28"/>
          <w14:ligatures w14:val="none"/>
        </w:rPr>
        <w:t xml:space="preserve"> </w:t>
      </w:r>
      <w:r w:rsidRPr="00FC0489">
        <w:rPr>
          <w:b/>
          <w:color w:val="7030A0"/>
          <w:sz w:val="28"/>
          <w14:ligatures w14:val="none"/>
        </w:rPr>
        <w:t xml:space="preserve"> Under this provision, </w:t>
      </w:r>
      <w:r>
        <w:rPr>
          <w:b/>
          <w:color w:val="7030A0"/>
          <w:sz w:val="28"/>
          <w14:ligatures w14:val="none"/>
        </w:rPr>
        <w:t>current 5</w:t>
      </w:r>
      <w:r w:rsidRPr="00FC0489">
        <w:rPr>
          <w:b/>
          <w:color w:val="7030A0"/>
          <w:sz w:val="28"/>
          <w:vertAlign w:val="superscript"/>
          <w14:ligatures w14:val="none"/>
        </w:rPr>
        <w:t>th</w:t>
      </w:r>
      <w:r>
        <w:rPr>
          <w:b/>
          <w:color w:val="7030A0"/>
          <w:sz w:val="28"/>
          <w14:ligatures w14:val="none"/>
        </w:rPr>
        <w:t xml:space="preserve"> grade students (</w:t>
      </w:r>
      <w:r w:rsidRPr="00FC0489">
        <w:rPr>
          <w:b/>
          <w:color w:val="7030A0"/>
          <w:sz w:val="28"/>
          <w14:ligatures w14:val="none"/>
        </w:rPr>
        <w:t>rising 6</w:t>
      </w:r>
      <w:r w:rsidRPr="00FC0489">
        <w:rPr>
          <w:b/>
          <w:color w:val="7030A0"/>
          <w:sz w:val="28"/>
          <w:vertAlign w:val="superscript"/>
          <w14:ligatures w14:val="none"/>
        </w:rPr>
        <w:t>th</w:t>
      </w:r>
      <w:r w:rsidRPr="00FC0489">
        <w:rPr>
          <w:b/>
          <w:color w:val="7030A0"/>
          <w:sz w:val="28"/>
          <w14:ligatures w14:val="none"/>
        </w:rPr>
        <w:t xml:space="preserve"> graders</w:t>
      </w:r>
      <w:r>
        <w:rPr>
          <w:b/>
          <w:color w:val="7030A0"/>
          <w:sz w:val="28"/>
          <w14:ligatures w14:val="none"/>
        </w:rPr>
        <w:t>)</w:t>
      </w:r>
      <w:r w:rsidRPr="00FC0489">
        <w:rPr>
          <w:b/>
          <w:color w:val="7030A0"/>
          <w:sz w:val="28"/>
          <w14:ligatures w14:val="none"/>
        </w:rPr>
        <w:t xml:space="preserve"> </w:t>
      </w:r>
      <w:r w:rsidRPr="00FC0489">
        <w:rPr>
          <w:b/>
          <w:i/>
          <w:color w:val="7030A0"/>
          <w:sz w:val="28"/>
          <w:u w:val="single"/>
          <w14:ligatures w14:val="none"/>
        </w:rPr>
        <w:t>are not required to receive the Tdap booster prior to entering middle school.</w:t>
      </w:r>
      <w:r>
        <w:rPr>
          <w:b/>
          <w:color w:val="7030A0"/>
          <w:sz w:val="28"/>
          <w14:ligatures w14:val="none"/>
        </w:rPr>
        <w:t xml:space="preserve">  </w:t>
      </w:r>
      <w:r>
        <w:rPr>
          <w:b/>
          <w:color w:val="auto"/>
          <w:sz w:val="28"/>
          <w14:ligatures w14:val="none"/>
        </w:rPr>
        <w:t>This group of students will be evaluated at the end of their 6</w:t>
      </w:r>
      <w:r w:rsidRPr="00FC0489">
        <w:rPr>
          <w:b/>
          <w:color w:val="auto"/>
          <w:sz w:val="28"/>
          <w:vertAlign w:val="superscript"/>
          <w14:ligatures w14:val="none"/>
        </w:rPr>
        <w:t>th</w:t>
      </w:r>
      <w:r>
        <w:rPr>
          <w:b/>
          <w:color w:val="auto"/>
          <w:sz w:val="28"/>
          <w14:ligatures w14:val="none"/>
        </w:rPr>
        <w:t xml:space="preserve"> grade</w:t>
      </w:r>
      <w:r w:rsidR="00EC3A27">
        <w:rPr>
          <w:b/>
          <w:color w:val="auto"/>
          <w:sz w:val="28"/>
          <w14:ligatures w14:val="none"/>
        </w:rPr>
        <w:t xml:space="preserve"> year</w:t>
      </w:r>
    </w:p>
    <w:p w:rsidR="00FC0489" w:rsidRDefault="00EC3A27" w:rsidP="00EC3A27">
      <w:pPr>
        <w:widowControl w:val="0"/>
        <w:spacing w:after="0"/>
        <w:rPr>
          <w:b/>
          <w:color w:val="auto"/>
          <w:sz w:val="28"/>
          <w14:ligatures w14:val="none"/>
        </w:rPr>
      </w:pPr>
      <w:r>
        <w:rPr>
          <w:b/>
          <w:color w:val="auto"/>
          <w:sz w:val="28"/>
          <w14:ligatures w14:val="none"/>
        </w:rPr>
        <w:t>(prior</w:t>
      </w:r>
      <w:r w:rsidR="00FC0489">
        <w:rPr>
          <w:b/>
          <w:color w:val="auto"/>
          <w:sz w:val="28"/>
          <w14:ligatures w14:val="none"/>
        </w:rPr>
        <w:t xml:space="preserve"> to entering the 7</w:t>
      </w:r>
      <w:r w:rsidR="00FC0489" w:rsidRPr="00FC0489">
        <w:rPr>
          <w:b/>
          <w:color w:val="auto"/>
          <w:sz w:val="28"/>
          <w:vertAlign w:val="superscript"/>
          <w14:ligatures w14:val="none"/>
        </w:rPr>
        <w:t>th</w:t>
      </w:r>
      <w:r w:rsidR="00FC0489">
        <w:rPr>
          <w:b/>
          <w:color w:val="auto"/>
          <w:sz w:val="28"/>
          <w14:ligatures w14:val="none"/>
        </w:rPr>
        <w:t xml:space="preserve"> grade level</w:t>
      </w:r>
      <w:r>
        <w:rPr>
          <w:b/>
          <w:color w:val="auto"/>
          <w:sz w:val="28"/>
          <w14:ligatures w14:val="none"/>
        </w:rPr>
        <w:t>)</w:t>
      </w:r>
      <w:r w:rsidR="00FC0489">
        <w:rPr>
          <w:b/>
          <w:color w:val="auto"/>
          <w:sz w:val="28"/>
          <w14:ligatures w14:val="none"/>
        </w:rPr>
        <w:t xml:space="preserve">. </w:t>
      </w:r>
    </w:p>
    <w:p w:rsidR="00FC0489" w:rsidRPr="00FC0489" w:rsidRDefault="00FC0489" w:rsidP="00F74B18">
      <w:pPr>
        <w:widowControl w:val="0"/>
        <w:rPr>
          <w:b/>
          <w:color w:val="auto"/>
          <w:sz w:val="28"/>
          <w14:ligatures w14:val="none"/>
        </w:rPr>
      </w:pPr>
    </w:p>
    <w:p w:rsidR="00FC0489" w:rsidRPr="00FC0489" w:rsidRDefault="00FC0489" w:rsidP="00F74B18">
      <w:pPr>
        <w:widowControl w:val="0"/>
        <w:rPr>
          <w:b/>
          <w:color w:val="7030A0"/>
          <w:sz w:val="28"/>
          <w14:ligatures w14:val="none"/>
        </w:rPr>
      </w:pPr>
      <w:r w:rsidRPr="00EC3A27">
        <w:rPr>
          <w:rFonts w:ascii="Times New Roman" w:hAnsi="Times New Roman" w:cs="Times New Roman"/>
          <w:noProof/>
          <w:sz w:val="32"/>
          <w:szCs w:val="24"/>
        </w:rPr>
        <w:drawing>
          <wp:anchor distT="36576" distB="36576" distL="36576" distR="36576" simplePos="0" relativeHeight="251659264" behindDoc="0" locked="0" layoutInCell="1" allowOverlap="1" wp14:anchorId="4AD3FC8F" wp14:editId="418CE03A">
            <wp:simplePos x="0" y="0"/>
            <wp:positionH relativeFrom="column">
              <wp:posOffset>-114300</wp:posOffset>
            </wp:positionH>
            <wp:positionV relativeFrom="paragraph">
              <wp:posOffset>1072514</wp:posOffset>
            </wp:positionV>
            <wp:extent cx="6806565" cy="2281555"/>
            <wp:effectExtent l="0" t="0" r="0" b="4445"/>
            <wp:wrapNone/>
            <wp:docPr id="1" name="Picture 1" descr="school-nurse-appreciat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nurse-appreciation[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06565" cy="22815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C3A27">
        <w:rPr>
          <w:b/>
          <w:color w:val="auto"/>
          <w:sz w:val="36"/>
          <w14:ligatures w14:val="none"/>
        </w:rPr>
        <w:t>How does this affect my rising 7</w:t>
      </w:r>
      <w:r w:rsidRPr="00EC3A27">
        <w:rPr>
          <w:b/>
          <w:color w:val="auto"/>
          <w:sz w:val="36"/>
          <w:vertAlign w:val="superscript"/>
          <w14:ligatures w14:val="none"/>
        </w:rPr>
        <w:t>th</w:t>
      </w:r>
      <w:r w:rsidRPr="00EC3A27">
        <w:rPr>
          <w:b/>
          <w:color w:val="auto"/>
          <w:sz w:val="36"/>
          <w14:ligatures w14:val="none"/>
        </w:rPr>
        <w:t xml:space="preserve"> grader?</w:t>
      </w:r>
      <w:r w:rsidRPr="00FC0489">
        <w:rPr>
          <w:b/>
          <w:color w:val="7030A0"/>
          <w:sz w:val="28"/>
          <w14:ligatures w14:val="none"/>
        </w:rPr>
        <w:t xml:space="preserve">  Current 6</w:t>
      </w:r>
      <w:r w:rsidRPr="00FC0489">
        <w:rPr>
          <w:b/>
          <w:color w:val="7030A0"/>
          <w:sz w:val="28"/>
          <w:vertAlign w:val="superscript"/>
          <w14:ligatures w14:val="none"/>
        </w:rPr>
        <w:t>th</w:t>
      </w:r>
      <w:r w:rsidRPr="00FC0489">
        <w:rPr>
          <w:b/>
          <w:color w:val="7030A0"/>
          <w:sz w:val="28"/>
          <w14:ligatures w14:val="none"/>
        </w:rPr>
        <w:t xml:space="preserve"> grade students (rising 7</w:t>
      </w:r>
      <w:r w:rsidRPr="00FC0489">
        <w:rPr>
          <w:b/>
          <w:color w:val="7030A0"/>
          <w:sz w:val="28"/>
          <w:vertAlign w:val="superscript"/>
          <w14:ligatures w14:val="none"/>
        </w:rPr>
        <w:t>th</w:t>
      </w:r>
      <w:r w:rsidRPr="00FC0489">
        <w:rPr>
          <w:b/>
          <w:color w:val="7030A0"/>
          <w:sz w:val="28"/>
          <w14:ligatures w14:val="none"/>
        </w:rPr>
        <w:t xml:space="preserve"> graders) received the Tdap booster prior to entering 6</w:t>
      </w:r>
      <w:r w:rsidRPr="00FC0489">
        <w:rPr>
          <w:b/>
          <w:color w:val="7030A0"/>
          <w:sz w:val="28"/>
          <w:vertAlign w:val="superscript"/>
          <w14:ligatures w14:val="none"/>
        </w:rPr>
        <w:t>th</w:t>
      </w:r>
      <w:r w:rsidRPr="00FC0489">
        <w:rPr>
          <w:b/>
          <w:color w:val="7030A0"/>
          <w:sz w:val="28"/>
          <w14:ligatures w14:val="none"/>
        </w:rPr>
        <w:t xml:space="preserve"> grade; therefore, they have met the requirement and are ready to enter 7</w:t>
      </w:r>
      <w:r w:rsidRPr="00FC0489">
        <w:rPr>
          <w:b/>
          <w:color w:val="7030A0"/>
          <w:sz w:val="28"/>
          <w:vertAlign w:val="superscript"/>
          <w14:ligatures w14:val="none"/>
        </w:rPr>
        <w:t>th</w:t>
      </w:r>
      <w:r>
        <w:rPr>
          <w:b/>
          <w:color w:val="7030A0"/>
          <w:sz w:val="28"/>
          <w14:ligatures w14:val="none"/>
        </w:rPr>
        <w:t xml:space="preserve"> grade and continue on to complete their secondary education.</w:t>
      </w:r>
    </w:p>
    <w:p w:rsidR="00FC0489" w:rsidRPr="00F74B18" w:rsidRDefault="00FC0489" w:rsidP="00F74B18">
      <w:pPr>
        <w:widowControl w:val="0"/>
        <w:rPr>
          <w:b/>
          <w:color w:val="7030A0"/>
          <w:sz w:val="24"/>
          <w14:ligatures w14:val="none"/>
        </w:rPr>
      </w:pPr>
    </w:p>
    <w:p w:rsidR="00F74B18" w:rsidRDefault="00F74B18" w:rsidP="00F74B18">
      <w:pPr>
        <w:widowControl w:val="0"/>
        <w:rPr>
          <w:color w:val="C00000"/>
          <w14:ligatures w14:val="none"/>
        </w:rPr>
      </w:pPr>
      <w:r>
        <w:rPr>
          <w:color w:val="C00000"/>
          <w14:ligatures w14:val="none"/>
        </w:rPr>
        <w:t> </w:t>
      </w:r>
    </w:p>
    <w:p w:rsidR="00F74B18" w:rsidRDefault="00F74B18" w:rsidP="00F74B18">
      <w:pPr>
        <w:widowControl w:val="0"/>
        <w:rPr>
          <w14:ligatures w14:val="none"/>
        </w:rPr>
      </w:pPr>
      <w:r>
        <w:rPr>
          <w14:ligatures w14:val="none"/>
        </w:rPr>
        <w:t> </w:t>
      </w:r>
    </w:p>
    <w:p w:rsidR="00834EAE" w:rsidRDefault="00834EAE"/>
    <w:sectPr w:rsidR="00834EAE" w:rsidSect="00F74B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18"/>
    <w:rsid w:val="00834EAE"/>
    <w:rsid w:val="00EC3A27"/>
    <w:rsid w:val="00F74B18"/>
    <w:rsid w:val="00FC0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EA675-9C2F-4206-9081-074DBC0C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B18"/>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24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Mooney</dc:creator>
  <cp:keywords/>
  <dc:description/>
  <cp:lastModifiedBy>Nancy Mooney</cp:lastModifiedBy>
  <cp:revision>2</cp:revision>
  <dcterms:created xsi:type="dcterms:W3CDTF">2019-05-03T14:45:00Z</dcterms:created>
  <dcterms:modified xsi:type="dcterms:W3CDTF">2019-05-03T15:18:00Z</dcterms:modified>
</cp:coreProperties>
</file>